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A7" w:rsidRPr="009D0B0F" w:rsidRDefault="00B37CA7">
      <w:pPr>
        <w:contextualSpacing/>
        <w:rPr>
          <w:rFonts w:ascii="Arial" w:hAnsi="Arial" w:cs="Arial"/>
          <w:b/>
          <w:sz w:val="28"/>
          <w:szCs w:val="24"/>
        </w:rPr>
      </w:pPr>
      <w:r w:rsidRPr="009D0B0F">
        <w:rPr>
          <w:rFonts w:ascii="Arial" w:hAnsi="Arial" w:cs="Arial"/>
          <w:b/>
          <w:sz w:val="28"/>
          <w:szCs w:val="24"/>
        </w:rPr>
        <w:t>Novoferm hydraulische Überladebrücke mit Vorschub</w:t>
      </w:r>
    </w:p>
    <w:p w:rsidR="00F145E3" w:rsidRPr="009D0B0F" w:rsidRDefault="00B37CA7">
      <w:pPr>
        <w:contextualSpacing/>
        <w:rPr>
          <w:rFonts w:ascii="Arial" w:hAnsi="Arial" w:cs="Arial"/>
          <w:b/>
          <w:sz w:val="24"/>
          <w:szCs w:val="24"/>
        </w:rPr>
      </w:pPr>
      <w:r w:rsidRPr="009D0B0F">
        <w:rPr>
          <w:rFonts w:ascii="Arial" w:hAnsi="Arial" w:cs="Arial"/>
          <w:b/>
          <w:sz w:val="28"/>
          <w:szCs w:val="24"/>
        </w:rPr>
        <w:t>Typ NovoDock L530</w:t>
      </w:r>
    </w:p>
    <w:p w:rsidR="00A77E08" w:rsidRPr="009D0B0F" w:rsidRDefault="00A77E08">
      <w:pPr>
        <w:contextualSpacing/>
        <w:rPr>
          <w:rFonts w:ascii="Arial" w:hAnsi="Arial" w:cs="Arial"/>
          <w:sz w:val="24"/>
          <w:szCs w:val="24"/>
        </w:rPr>
      </w:pPr>
    </w:p>
    <w:p w:rsidR="00A77E08" w:rsidRPr="009D0B0F" w:rsidRDefault="00A77E08">
      <w:pPr>
        <w:contextualSpacing/>
        <w:rPr>
          <w:rFonts w:ascii="Arial" w:hAnsi="Arial" w:cs="Arial"/>
          <w:sz w:val="24"/>
          <w:szCs w:val="24"/>
        </w:rPr>
      </w:pPr>
      <w:r w:rsidRPr="009D0B0F">
        <w:rPr>
          <w:rFonts w:ascii="Arial" w:hAnsi="Arial" w:cs="Arial"/>
          <w:sz w:val="24"/>
          <w:szCs w:val="24"/>
        </w:rPr>
        <w:t>Stationäre elektro- / hydraulische Verladeeinrichtung mit Vorschublippe aus Stahl</w:t>
      </w:r>
    </w:p>
    <w:p w:rsidR="00A77E08" w:rsidRPr="009D0B0F" w:rsidRDefault="00A77E08">
      <w:pPr>
        <w:contextualSpacing/>
        <w:rPr>
          <w:rFonts w:ascii="Arial" w:hAnsi="Arial" w:cs="Arial"/>
          <w:sz w:val="24"/>
          <w:szCs w:val="24"/>
        </w:rPr>
      </w:pPr>
      <w:r w:rsidRPr="009D0B0F">
        <w:rPr>
          <w:rFonts w:ascii="Arial" w:hAnsi="Arial" w:cs="Arial"/>
          <w:sz w:val="24"/>
          <w:szCs w:val="24"/>
        </w:rPr>
        <w:t>- 2 hydraulische Hubzylinder, 1 hydraulischer Vorschubzylinder</w:t>
      </w:r>
    </w:p>
    <w:p w:rsidR="00A77E08" w:rsidRPr="009D0B0F" w:rsidRDefault="00A77E08">
      <w:pPr>
        <w:contextualSpacing/>
        <w:rPr>
          <w:rFonts w:ascii="Arial" w:hAnsi="Arial" w:cs="Arial"/>
          <w:sz w:val="24"/>
          <w:szCs w:val="24"/>
        </w:rPr>
      </w:pPr>
      <w:r w:rsidRPr="009D0B0F">
        <w:rPr>
          <w:rFonts w:ascii="Arial" w:hAnsi="Arial" w:cs="Arial"/>
          <w:sz w:val="24"/>
          <w:szCs w:val="24"/>
        </w:rPr>
        <w:t>- Plattform aus rutschhemmendem Stahl 8/10 mm dick</w:t>
      </w:r>
    </w:p>
    <w:p w:rsidR="00A77E08" w:rsidRPr="009D0B0F" w:rsidRDefault="00A77E08">
      <w:pPr>
        <w:contextualSpacing/>
        <w:rPr>
          <w:rFonts w:ascii="Arial" w:hAnsi="Arial" w:cs="Arial"/>
          <w:sz w:val="24"/>
          <w:szCs w:val="24"/>
        </w:rPr>
      </w:pPr>
      <w:r w:rsidRPr="009D0B0F">
        <w:rPr>
          <w:rFonts w:ascii="Arial" w:hAnsi="Arial" w:cs="Arial"/>
          <w:sz w:val="24"/>
          <w:szCs w:val="24"/>
        </w:rPr>
        <w:t>- Entsprechend Vorschriften EN 1398 und ZH 1/156</w:t>
      </w:r>
    </w:p>
    <w:p w:rsidR="00F15E21" w:rsidRPr="009D0B0F" w:rsidRDefault="00F15E21">
      <w:pPr>
        <w:contextualSpacing/>
        <w:rPr>
          <w:rFonts w:ascii="Arial" w:hAnsi="Arial" w:cs="Arial"/>
          <w:sz w:val="24"/>
          <w:szCs w:val="24"/>
        </w:rPr>
      </w:pPr>
      <w:r w:rsidRPr="009D0B0F">
        <w:rPr>
          <w:rFonts w:ascii="Arial" w:hAnsi="Arial" w:cs="Arial"/>
          <w:sz w:val="24"/>
          <w:szCs w:val="24"/>
        </w:rPr>
        <w:t>- Elektrohydraulischer Antrieb, Motorleistung max. 1,1 KW</w:t>
      </w:r>
    </w:p>
    <w:p w:rsidR="00B37CA7" w:rsidRPr="009D0B0F" w:rsidRDefault="00B37CA7">
      <w:pPr>
        <w:contextualSpacing/>
        <w:rPr>
          <w:rFonts w:ascii="Arial" w:hAnsi="Arial" w:cs="Arial"/>
          <w:b/>
          <w:sz w:val="24"/>
          <w:szCs w:val="24"/>
        </w:rPr>
      </w:pPr>
    </w:p>
    <w:p w:rsidR="00B37CA7" w:rsidRPr="009D0B0F" w:rsidRDefault="00B37CA7">
      <w:pPr>
        <w:contextualSpacing/>
        <w:rPr>
          <w:rFonts w:ascii="Arial" w:hAnsi="Arial" w:cs="Arial"/>
          <w:sz w:val="24"/>
          <w:szCs w:val="24"/>
        </w:rPr>
      </w:pPr>
      <w:r w:rsidRPr="009D0B0F">
        <w:rPr>
          <w:rFonts w:ascii="Arial" w:hAnsi="Arial" w:cs="Arial"/>
          <w:sz w:val="24"/>
          <w:szCs w:val="24"/>
        </w:rPr>
        <w:t>Nennlast:</w:t>
      </w:r>
      <w:r w:rsidRPr="009D0B0F">
        <w:rPr>
          <w:rFonts w:ascii="Arial" w:hAnsi="Arial" w:cs="Arial"/>
          <w:sz w:val="24"/>
          <w:szCs w:val="24"/>
        </w:rPr>
        <w:tab/>
      </w:r>
      <w:r w:rsidRPr="009D0B0F">
        <w:rPr>
          <w:rFonts w:ascii="Arial" w:hAnsi="Arial" w:cs="Arial"/>
          <w:sz w:val="24"/>
          <w:szCs w:val="24"/>
        </w:rPr>
        <w:tab/>
      </w:r>
      <w:r w:rsidRPr="009D0B0F">
        <w:rPr>
          <w:rFonts w:ascii="Arial" w:hAnsi="Arial" w:cs="Arial"/>
          <w:sz w:val="24"/>
          <w:szCs w:val="24"/>
        </w:rPr>
        <w:tab/>
        <w:t>60 kN</w:t>
      </w:r>
    </w:p>
    <w:p w:rsidR="00B37CA7" w:rsidRPr="009D0B0F" w:rsidRDefault="00B37CA7">
      <w:pPr>
        <w:contextualSpacing/>
        <w:rPr>
          <w:rFonts w:ascii="Arial" w:hAnsi="Arial" w:cs="Arial"/>
          <w:sz w:val="24"/>
          <w:szCs w:val="24"/>
        </w:rPr>
      </w:pPr>
      <w:r w:rsidRPr="009D0B0F">
        <w:rPr>
          <w:rFonts w:ascii="Arial" w:hAnsi="Arial" w:cs="Arial"/>
          <w:sz w:val="24"/>
          <w:szCs w:val="24"/>
        </w:rPr>
        <w:t xml:space="preserve">Nennlängen (mm): </w:t>
      </w:r>
      <w:r w:rsidRPr="009D0B0F">
        <w:rPr>
          <w:rFonts w:ascii="Arial" w:hAnsi="Arial" w:cs="Arial"/>
          <w:sz w:val="24"/>
          <w:szCs w:val="24"/>
        </w:rPr>
        <w:tab/>
      </w:r>
      <w:r w:rsidRPr="009D0B0F">
        <w:rPr>
          <w:rFonts w:ascii="Arial" w:hAnsi="Arial" w:cs="Arial"/>
          <w:sz w:val="24"/>
          <w:szCs w:val="24"/>
        </w:rPr>
        <w:tab/>
        <w:t>2000, 2500 oder 3000</w:t>
      </w:r>
    </w:p>
    <w:p w:rsidR="00B37CA7" w:rsidRPr="009D0B0F" w:rsidRDefault="00B37CA7">
      <w:pPr>
        <w:contextualSpacing/>
        <w:rPr>
          <w:rFonts w:ascii="Arial" w:hAnsi="Arial" w:cs="Arial"/>
          <w:sz w:val="24"/>
          <w:szCs w:val="24"/>
        </w:rPr>
      </w:pPr>
      <w:r w:rsidRPr="009D0B0F">
        <w:rPr>
          <w:rFonts w:ascii="Arial" w:hAnsi="Arial" w:cs="Arial"/>
          <w:sz w:val="24"/>
          <w:szCs w:val="24"/>
        </w:rPr>
        <w:t xml:space="preserve">Nennbreiten (mm): </w:t>
      </w:r>
      <w:r w:rsidRPr="009D0B0F">
        <w:rPr>
          <w:rFonts w:ascii="Arial" w:hAnsi="Arial" w:cs="Arial"/>
          <w:sz w:val="24"/>
          <w:szCs w:val="24"/>
        </w:rPr>
        <w:tab/>
      </w:r>
      <w:r w:rsidRPr="009D0B0F">
        <w:rPr>
          <w:rFonts w:ascii="Arial" w:hAnsi="Arial" w:cs="Arial"/>
          <w:sz w:val="24"/>
          <w:szCs w:val="24"/>
        </w:rPr>
        <w:tab/>
        <w:t>1750, 2000, 2250 oder 2400</w:t>
      </w:r>
    </w:p>
    <w:p w:rsidR="00B37CA7" w:rsidRPr="009D0B0F" w:rsidRDefault="00B37CA7">
      <w:pPr>
        <w:contextualSpacing/>
        <w:rPr>
          <w:rFonts w:ascii="Arial" w:hAnsi="Arial" w:cs="Arial"/>
          <w:sz w:val="24"/>
          <w:szCs w:val="24"/>
        </w:rPr>
      </w:pPr>
      <w:r w:rsidRPr="009D0B0F">
        <w:rPr>
          <w:rFonts w:ascii="Arial" w:hAnsi="Arial" w:cs="Arial"/>
          <w:sz w:val="24"/>
          <w:szCs w:val="24"/>
        </w:rPr>
        <w:t>Vo</w:t>
      </w:r>
      <w:r w:rsidR="00A77E08" w:rsidRPr="009D0B0F">
        <w:rPr>
          <w:rFonts w:ascii="Arial" w:hAnsi="Arial" w:cs="Arial"/>
          <w:sz w:val="24"/>
          <w:szCs w:val="24"/>
        </w:rPr>
        <w:t>rschublängen (mm):</w:t>
      </w:r>
      <w:r w:rsidR="00A77E08" w:rsidRPr="009D0B0F">
        <w:rPr>
          <w:rFonts w:ascii="Arial" w:hAnsi="Arial" w:cs="Arial"/>
          <w:sz w:val="24"/>
          <w:szCs w:val="24"/>
        </w:rPr>
        <w:tab/>
        <w:t>500</w:t>
      </w:r>
    </w:p>
    <w:p w:rsidR="00B37CA7" w:rsidRPr="009D0B0F" w:rsidRDefault="00B37CA7">
      <w:pPr>
        <w:contextualSpacing/>
        <w:rPr>
          <w:rFonts w:ascii="Arial" w:hAnsi="Arial" w:cs="Arial"/>
          <w:sz w:val="24"/>
          <w:szCs w:val="24"/>
        </w:rPr>
      </w:pPr>
      <w:r w:rsidRPr="009D0B0F">
        <w:rPr>
          <w:rFonts w:ascii="Arial" w:hAnsi="Arial" w:cs="Arial"/>
          <w:sz w:val="24"/>
          <w:szCs w:val="24"/>
        </w:rPr>
        <w:t>Bauhöhen (mm):</w:t>
      </w:r>
      <w:r w:rsidRPr="009D0B0F">
        <w:rPr>
          <w:rFonts w:ascii="Arial" w:hAnsi="Arial" w:cs="Arial"/>
          <w:sz w:val="24"/>
          <w:szCs w:val="24"/>
        </w:rPr>
        <w:tab/>
      </w:r>
      <w:r w:rsidRPr="009D0B0F">
        <w:rPr>
          <w:rFonts w:ascii="Arial" w:hAnsi="Arial" w:cs="Arial"/>
          <w:sz w:val="24"/>
          <w:szCs w:val="24"/>
        </w:rPr>
        <w:tab/>
        <w:t>600 oder 700 (bis NL 3000)</w:t>
      </w:r>
    </w:p>
    <w:p w:rsidR="00B37CA7" w:rsidRPr="009D0B0F" w:rsidRDefault="0003702B">
      <w:pPr>
        <w:contextualSpacing/>
        <w:rPr>
          <w:rFonts w:ascii="Arial" w:hAnsi="Arial" w:cs="Arial"/>
          <w:sz w:val="24"/>
          <w:szCs w:val="24"/>
        </w:rPr>
      </w:pPr>
      <w:r w:rsidRPr="009D0B0F">
        <w:rPr>
          <w:rFonts w:ascii="Arial" w:hAnsi="Arial" w:cs="Arial"/>
          <w:sz w:val="24"/>
          <w:szCs w:val="24"/>
        </w:rPr>
        <w:t>Oberfläche:</w:t>
      </w:r>
      <w:r w:rsidRPr="009D0B0F">
        <w:rPr>
          <w:rFonts w:ascii="Arial" w:hAnsi="Arial" w:cs="Arial"/>
          <w:sz w:val="24"/>
          <w:szCs w:val="24"/>
        </w:rPr>
        <w:tab/>
      </w:r>
      <w:r w:rsidRPr="009D0B0F">
        <w:rPr>
          <w:rFonts w:ascii="Arial" w:hAnsi="Arial" w:cs="Arial"/>
          <w:sz w:val="24"/>
          <w:szCs w:val="24"/>
        </w:rPr>
        <w:tab/>
      </w:r>
      <w:r w:rsidR="00A07716" w:rsidRPr="009D0B0F">
        <w:rPr>
          <w:rFonts w:ascii="Arial" w:hAnsi="Arial" w:cs="Arial"/>
          <w:sz w:val="24"/>
          <w:szCs w:val="24"/>
        </w:rPr>
        <w:t>in RAL7016 (anthrazit), 9005 (schwarz) oder 5010 (blau)</w:t>
      </w:r>
    </w:p>
    <w:p w:rsidR="00453C2C" w:rsidRPr="009D0B0F" w:rsidRDefault="00A07716">
      <w:pPr>
        <w:contextualSpacing/>
        <w:rPr>
          <w:rFonts w:ascii="Arial" w:hAnsi="Arial" w:cs="Arial"/>
          <w:sz w:val="24"/>
          <w:szCs w:val="24"/>
        </w:rPr>
      </w:pPr>
      <w:r w:rsidRPr="009D0B0F">
        <w:rPr>
          <w:rFonts w:ascii="Arial" w:hAnsi="Arial" w:cs="Arial"/>
          <w:sz w:val="24"/>
          <w:szCs w:val="24"/>
        </w:rPr>
        <w:t>S</w:t>
      </w:r>
      <w:r w:rsidR="0003702B" w:rsidRPr="009D0B0F">
        <w:rPr>
          <w:rFonts w:ascii="Arial" w:hAnsi="Arial" w:cs="Arial"/>
          <w:sz w:val="24"/>
          <w:szCs w:val="24"/>
        </w:rPr>
        <w:t>teuerung:</w:t>
      </w:r>
      <w:r w:rsidR="0003702B" w:rsidRPr="009D0B0F">
        <w:rPr>
          <w:rFonts w:ascii="Arial" w:hAnsi="Arial" w:cs="Arial"/>
          <w:sz w:val="24"/>
          <w:szCs w:val="24"/>
        </w:rPr>
        <w:tab/>
      </w:r>
      <w:r w:rsidR="0003702B" w:rsidRPr="009D0B0F">
        <w:rPr>
          <w:rFonts w:ascii="Arial" w:hAnsi="Arial" w:cs="Arial"/>
          <w:sz w:val="24"/>
          <w:szCs w:val="24"/>
        </w:rPr>
        <w:tab/>
      </w:r>
      <w:r w:rsidRPr="009D0B0F">
        <w:rPr>
          <w:rFonts w:ascii="Arial" w:hAnsi="Arial" w:cs="Arial"/>
          <w:sz w:val="24"/>
          <w:szCs w:val="24"/>
        </w:rPr>
        <w:t xml:space="preserve">Novo </w:t>
      </w:r>
      <w:proofErr w:type="spellStart"/>
      <w:r w:rsidRPr="009D0B0F">
        <w:rPr>
          <w:rFonts w:ascii="Arial" w:hAnsi="Arial" w:cs="Arial"/>
          <w:sz w:val="24"/>
          <w:szCs w:val="24"/>
        </w:rPr>
        <w:t>SuperVision</w:t>
      </w:r>
      <w:proofErr w:type="spellEnd"/>
      <w:r w:rsidRPr="009D0B0F">
        <w:rPr>
          <w:rFonts w:ascii="Arial" w:hAnsi="Arial" w:cs="Arial"/>
          <w:sz w:val="24"/>
          <w:szCs w:val="24"/>
        </w:rPr>
        <w:t xml:space="preserve"> 5</w:t>
      </w:r>
      <w:r w:rsidR="00F15E21" w:rsidRPr="009D0B0F">
        <w:rPr>
          <w:rFonts w:ascii="Arial" w:hAnsi="Arial" w:cs="Arial"/>
          <w:sz w:val="24"/>
          <w:szCs w:val="24"/>
        </w:rPr>
        <w:t xml:space="preserve"> – 400V</w:t>
      </w:r>
    </w:p>
    <w:p w:rsidR="00453C2C" w:rsidRPr="009D0B0F" w:rsidRDefault="00453C2C">
      <w:pPr>
        <w:contextualSpacing/>
        <w:rPr>
          <w:rFonts w:ascii="Arial" w:hAnsi="Arial" w:cs="Arial"/>
          <w:sz w:val="24"/>
          <w:szCs w:val="24"/>
        </w:rPr>
      </w:pPr>
      <w:r w:rsidRPr="009D0B0F">
        <w:rPr>
          <w:rFonts w:ascii="Arial" w:hAnsi="Arial" w:cs="Arial"/>
          <w:sz w:val="24"/>
          <w:szCs w:val="24"/>
        </w:rPr>
        <w:t>Autotaster</w:t>
      </w:r>
    </w:p>
    <w:p w:rsidR="00453C2C" w:rsidRPr="009D0B0F" w:rsidRDefault="00453C2C">
      <w:pPr>
        <w:contextualSpacing/>
        <w:rPr>
          <w:rFonts w:ascii="Arial" w:hAnsi="Arial" w:cs="Arial"/>
          <w:sz w:val="24"/>
          <w:szCs w:val="24"/>
        </w:rPr>
      </w:pPr>
      <w:r w:rsidRPr="009D0B0F">
        <w:rPr>
          <w:rFonts w:ascii="Arial" w:hAnsi="Arial" w:cs="Arial"/>
          <w:sz w:val="24"/>
          <w:szCs w:val="24"/>
        </w:rPr>
        <w:t>Kabellänge:</w:t>
      </w:r>
      <w:r w:rsidRPr="009D0B0F">
        <w:rPr>
          <w:rFonts w:ascii="Arial" w:hAnsi="Arial" w:cs="Arial"/>
          <w:sz w:val="24"/>
          <w:szCs w:val="24"/>
        </w:rPr>
        <w:tab/>
      </w:r>
      <w:r w:rsidRPr="009D0B0F">
        <w:rPr>
          <w:rFonts w:ascii="Arial" w:hAnsi="Arial" w:cs="Arial"/>
          <w:sz w:val="24"/>
          <w:szCs w:val="24"/>
        </w:rPr>
        <w:tab/>
        <w:t>7 m</w:t>
      </w:r>
    </w:p>
    <w:p w:rsidR="00F15E21" w:rsidRPr="009D0B0F" w:rsidRDefault="00F15E21">
      <w:pPr>
        <w:contextualSpacing/>
        <w:rPr>
          <w:rFonts w:ascii="Arial" w:hAnsi="Arial" w:cs="Arial"/>
          <w:sz w:val="24"/>
          <w:szCs w:val="24"/>
        </w:rPr>
      </w:pPr>
    </w:p>
    <w:p w:rsidR="00A07716" w:rsidRPr="009D0B0F" w:rsidRDefault="00F15E21">
      <w:pPr>
        <w:contextualSpacing/>
        <w:rPr>
          <w:rFonts w:ascii="Arial" w:hAnsi="Arial" w:cs="Arial"/>
          <w:sz w:val="24"/>
          <w:szCs w:val="24"/>
        </w:rPr>
      </w:pPr>
      <w:r w:rsidRPr="009D0B0F">
        <w:rPr>
          <w:rFonts w:ascii="Arial" w:hAnsi="Arial" w:cs="Arial"/>
          <w:b/>
          <w:sz w:val="24"/>
          <w:szCs w:val="24"/>
        </w:rPr>
        <w:t>Standard Einbaumethode</w:t>
      </w:r>
      <w:r w:rsidRPr="009D0B0F">
        <w:rPr>
          <w:rFonts w:ascii="Arial" w:hAnsi="Arial" w:cs="Arial"/>
          <w:sz w:val="24"/>
          <w:szCs w:val="24"/>
        </w:rPr>
        <w:tab/>
        <w:t>CZ – Brückenrahmen zum Einbetonieren</w:t>
      </w:r>
    </w:p>
    <w:p w:rsidR="00F15E21" w:rsidRPr="009D0B0F" w:rsidRDefault="00F15E21" w:rsidP="00F15E21">
      <w:pPr>
        <w:contextualSpacing/>
        <w:jc w:val="both"/>
        <w:rPr>
          <w:rFonts w:ascii="Arial" w:hAnsi="Arial" w:cs="Arial"/>
          <w:sz w:val="24"/>
          <w:szCs w:val="24"/>
        </w:rPr>
      </w:pPr>
      <w:r w:rsidRPr="009D0B0F">
        <w:rPr>
          <w:rFonts w:ascii="Arial" w:hAnsi="Arial" w:cs="Arial"/>
          <w:sz w:val="24"/>
          <w:szCs w:val="24"/>
        </w:rPr>
        <w:t xml:space="preserve">Hierbei befinden sich am Brückenrahmen Maueranker, die mit den bauseitigen Betonstahldollen verschweißt werden. Anschließend kann betoniert werden. Die </w:t>
      </w:r>
      <w:proofErr w:type="spellStart"/>
      <w:r w:rsidRPr="009D0B0F">
        <w:rPr>
          <w:rFonts w:ascii="Arial" w:hAnsi="Arial" w:cs="Arial"/>
          <w:sz w:val="24"/>
          <w:szCs w:val="24"/>
        </w:rPr>
        <w:t>Betonierhöhe</w:t>
      </w:r>
      <w:proofErr w:type="spellEnd"/>
      <w:r w:rsidRPr="009D0B0F">
        <w:rPr>
          <w:rFonts w:ascii="Arial" w:hAnsi="Arial" w:cs="Arial"/>
          <w:sz w:val="24"/>
          <w:szCs w:val="24"/>
        </w:rPr>
        <w:t xml:space="preserve"> beträgt bei dieser Variante max. 110 mm. Der Vorteil dieser Variante ist die einfach herzustellende Grube. Zudem kann der Hallenboden bis auf die umlaufende Nut komplett fertiggestellt werden.</w:t>
      </w:r>
    </w:p>
    <w:p w:rsidR="00F15E21" w:rsidRPr="009D0B0F" w:rsidRDefault="00F15E21" w:rsidP="00F15E21">
      <w:pPr>
        <w:contextualSpacing/>
        <w:jc w:val="both"/>
        <w:rPr>
          <w:rFonts w:ascii="Arial" w:hAnsi="Arial" w:cs="Arial"/>
          <w:sz w:val="24"/>
          <w:szCs w:val="24"/>
        </w:rPr>
      </w:pPr>
    </w:p>
    <w:p w:rsidR="00F15E21" w:rsidRPr="009D0B0F" w:rsidRDefault="00F15E21" w:rsidP="00024A4F">
      <w:pPr>
        <w:contextualSpacing/>
        <w:jc w:val="both"/>
        <w:rPr>
          <w:rFonts w:ascii="Arial" w:hAnsi="Arial" w:cs="Arial"/>
          <w:b/>
          <w:sz w:val="28"/>
          <w:szCs w:val="24"/>
        </w:rPr>
      </w:pPr>
      <w:r w:rsidRPr="009D0B0F">
        <w:rPr>
          <w:rFonts w:ascii="Arial" w:hAnsi="Arial" w:cs="Arial"/>
          <w:b/>
          <w:sz w:val="28"/>
          <w:szCs w:val="24"/>
        </w:rPr>
        <w:t xml:space="preserve">Alternative </w:t>
      </w:r>
      <w:r w:rsidR="00453C2C" w:rsidRPr="009D0B0F">
        <w:rPr>
          <w:rFonts w:ascii="Arial" w:hAnsi="Arial" w:cs="Arial"/>
          <w:b/>
          <w:sz w:val="28"/>
          <w:szCs w:val="24"/>
        </w:rPr>
        <w:t>Einbaumethoden</w:t>
      </w:r>
    </w:p>
    <w:p w:rsidR="00A07716" w:rsidRPr="009D0B0F" w:rsidRDefault="00785A4E" w:rsidP="00024A4F">
      <w:pPr>
        <w:contextualSpacing/>
        <w:jc w:val="both"/>
        <w:rPr>
          <w:rFonts w:ascii="Arial" w:hAnsi="Arial" w:cs="Arial"/>
          <w:i/>
          <w:sz w:val="24"/>
          <w:szCs w:val="24"/>
        </w:rPr>
      </w:pPr>
      <w:r w:rsidRPr="009D0B0F">
        <w:rPr>
          <w:rFonts w:ascii="Arial" w:hAnsi="Arial" w:cs="Arial"/>
          <w:i/>
          <w:sz w:val="24"/>
          <w:szCs w:val="24"/>
        </w:rPr>
        <w:t>BZ – Vorabrahmen zum Verschweißen</w:t>
      </w:r>
    </w:p>
    <w:p w:rsidR="004B50E4" w:rsidRPr="009D0B0F" w:rsidRDefault="00785A4E" w:rsidP="00024A4F">
      <w:pPr>
        <w:contextualSpacing/>
        <w:jc w:val="both"/>
        <w:rPr>
          <w:rFonts w:ascii="Arial" w:hAnsi="Arial" w:cs="Arial"/>
          <w:sz w:val="24"/>
          <w:szCs w:val="24"/>
        </w:rPr>
      </w:pPr>
      <w:r w:rsidRPr="009D0B0F">
        <w:rPr>
          <w:rFonts w:ascii="Arial" w:hAnsi="Arial" w:cs="Arial"/>
          <w:sz w:val="24"/>
          <w:szCs w:val="24"/>
        </w:rPr>
        <w:t xml:space="preserve">Die Brücke wird mit einem Winkelrahmen ausgeführt, dessen Schenkel sich dann in </w:t>
      </w:r>
      <w:proofErr w:type="gramStart"/>
      <w:r w:rsidRPr="009D0B0F">
        <w:rPr>
          <w:rFonts w:ascii="Arial" w:hAnsi="Arial" w:cs="Arial"/>
          <w:sz w:val="24"/>
          <w:szCs w:val="24"/>
        </w:rPr>
        <w:t>den sogenannten</w:t>
      </w:r>
      <w:proofErr w:type="gramEnd"/>
      <w:r w:rsidRPr="009D0B0F">
        <w:rPr>
          <w:rFonts w:ascii="Arial" w:hAnsi="Arial" w:cs="Arial"/>
          <w:sz w:val="24"/>
          <w:szCs w:val="24"/>
        </w:rPr>
        <w:t xml:space="preserve"> Vorabrahmen legen und dort verschweißt werden. </w:t>
      </w:r>
      <w:proofErr w:type="gramStart"/>
      <w:r w:rsidRPr="009D0B0F">
        <w:rPr>
          <w:rFonts w:ascii="Arial" w:hAnsi="Arial" w:cs="Arial"/>
          <w:sz w:val="24"/>
          <w:szCs w:val="24"/>
        </w:rPr>
        <w:t>Dieser</w:t>
      </w:r>
      <w:proofErr w:type="gramEnd"/>
      <w:r w:rsidRPr="009D0B0F">
        <w:rPr>
          <w:rFonts w:ascii="Arial" w:hAnsi="Arial" w:cs="Arial"/>
          <w:sz w:val="24"/>
          <w:szCs w:val="24"/>
        </w:rPr>
        <w:t xml:space="preserve"> Vorabrahmen besteht aus dem Winkel mit aufgesetztem Flacheisen, der vor dem Verguss mit in die Bodenplatte eingebaut wird. </w:t>
      </w:r>
      <w:proofErr w:type="gramStart"/>
      <w:r w:rsidRPr="009D0B0F">
        <w:rPr>
          <w:rFonts w:ascii="Arial" w:hAnsi="Arial" w:cs="Arial"/>
          <w:sz w:val="24"/>
          <w:szCs w:val="24"/>
        </w:rPr>
        <w:t>Der</w:t>
      </w:r>
      <w:proofErr w:type="gramEnd"/>
      <w:r w:rsidRPr="009D0B0F">
        <w:rPr>
          <w:rFonts w:ascii="Arial" w:hAnsi="Arial" w:cs="Arial"/>
          <w:sz w:val="24"/>
          <w:szCs w:val="24"/>
        </w:rPr>
        <w:t xml:space="preserve"> Vorabrahmen kann optional auch durch Novoferm zur bauseitigen Montage geliefert werden. Diese Variante wird bevorzugt, um den Hallenboden </w:t>
      </w:r>
      <w:r w:rsidR="004B50E4" w:rsidRPr="009D0B0F">
        <w:rPr>
          <w:rFonts w:ascii="Arial" w:hAnsi="Arial" w:cs="Arial"/>
          <w:sz w:val="24"/>
          <w:szCs w:val="24"/>
        </w:rPr>
        <w:t>unabhängig von der Brücke fertigstellen zu können. Die Brücke kann dann zu einem späteren Zeitpunkt geliefert und montiert werden.</w:t>
      </w:r>
    </w:p>
    <w:p w:rsidR="004B50E4" w:rsidRPr="009D0B0F" w:rsidRDefault="004B50E4" w:rsidP="00024A4F">
      <w:pPr>
        <w:contextualSpacing/>
        <w:jc w:val="both"/>
        <w:rPr>
          <w:rFonts w:ascii="Arial" w:hAnsi="Arial" w:cs="Arial"/>
          <w:i/>
          <w:sz w:val="24"/>
          <w:szCs w:val="24"/>
        </w:rPr>
      </w:pPr>
      <w:r w:rsidRPr="009D0B0F">
        <w:rPr>
          <w:rFonts w:ascii="Arial" w:hAnsi="Arial" w:cs="Arial"/>
          <w:i/>
          <w:sz w:val="24"/>
          <w:szCs w:val="24"/>
        </w:rPr>
        <w:t>DZ – Brückenrahmen zum Einbetonieren bei höherem Betonaufbau</w:t>
      </w:r>
    </w:p>
    <w:p w:rsidR="004B50E4" w:rsidRPr="009D0B0F" w:rsidRDefault="004B50E4" w:rsidP="00024A4F">
      <w:pPr>
        <w:contextualSpacing/>
        <w:jc w:val="both"/>
        <w:rPr>
          <w:rFonts w:ascii="Arial" w:hAnsi="Arial" w:cs="Arial"/>
          <w:sz w:val="24"/>
          <w:szCs w:val="24"/>
        </w:rPr>
      </w:pPr>
      <w:r w:rsidRPr="009D0B0F">
        <w:rPr>
          <w:rFonts w:ascii="Arial" w:hAnsi="Arial" w:cs="Arial"/>
          <w:sz w:val="24"/>
          <w:szCs w:val="24"/>
        </w:rPr>
        <w:t xml:space="preserve">Diese Ausführung ist der vorher beschriebenen Methode CZ sehr ähnlich und unterscheidet sich lediglich durch die </w:t>
      </w:r>
      <w:proofErr w:type="spellStart"/>
      <w:r w:rsidRPr="009D0B0F">
        <w:rPr>
          <w:rFonts w:ascii="Arial" w:hAnsi="Arial" w:cs="Arial"/>
          <w:sz w:val="24"/>
          <w:szCs w:val="24"/>
        </w:rPr>
        <w:t>Betonierhöhe</w:t>
      </w:r>
      <w:proofErr w:type="spellEnd"/>
      <w:r w:rsidRPr="009D0B0F">
        <w:rPr>
          <w:rFonts w:ascii="Arial" w:hAnsi="Arial" w:cs="Arial"/>
          <w:sz w:val="24"/>
          <w:szCs w:val="24"/>
        </w:rPr>
        <w:t>. Der erhöhte Rahmen wird mit seitlichen und rückwärtigen Nivellierschrauben geliefert. Mit dieser Variante können Bodenaufbauten von 100 – 250 mm abgedeckt werden. Verwendung findet diese Methode häufig bei größeren Stückzahlen und dem</w:t>
      </w:r>
      <w:r w:rsidR="0003702B" w:rsidRPr="009D0B0F">
        <w:rPr>
          <w:rFonts w:ascii="Arial" w:hAnsi="Arial" w:cs="Arial"/>
          <w:sz w:val="24"/>
          <w:szCs w:val="24"/>
        </w:rPr>
        <w:t xml:space="preserve"> Einsatz von Betonfertigteilen.</w:t>
      </w:r>
    </w:p>
    <w:p w:rsidR="004B50E4" w:rsidRPr="009D0B0F" w:rsidRDefault="004B50E4" w:rsidP="00024A4F">
      <w:pPr>
        <w:contextualSpacing/>
        <w:jc w:val="both"/>
        <w:rPr>
          <w:rFonts w:ascii="Arial" w:hAnsi="Arial" w:cs="Arial"/>
          <w:i/>
          <w:sz w:val="24"/>
          <w:szCs w:val="24"/>
        </w:rPr>
      </w:pPr>
      <w:r w:rsidRPr="009D0B0F">
        <w:rPr>
          <w:rFonts w:ascii="Arial" w:hAnsi="Arial" w:cs="Arial"/>
          <w:i/>
          <w:sz w:val="24"/>
          <w:szCs w:val="24"/>
        </w:rPr>
        <w:t>EZ – Box-Modell zum Einbetonieren</w:t>
      </w:r>
    </w:p>
    <w:p w:rsidR="000A3865" w:rsidRPr="009D0B0F" w:rsidRDefault="000A3865" w:rsidP="00024A4F">
      <w:pPr>
        <w:contextualSpacing/>
        <w:jc w:val="both"/>
        <w:rPr>
          <w:rFonts w:ascii="Arial" w:hAnsi="Arial" w:cs="Arial"/>
          <w:sz w:val="24"/>
          <w:szCs w:val="24"/>
        </w:rPr>
      </w:pPr>
      <w:r w:rsidRPr="009D0B0F">
        <w:rPr>
          <w:rFonts w:ascii="Arial" w:hAnsi="Arial" w:cs="Arial"/>
          <w:sz w:val="24"/>
          <w:szCs w:val="24"/>
        </w:rPr>
        <w:t xml:space="preserve">Bei dieser Variante wird die Überladebrücke als dreiseitig geschlossene Box ausgeführt. Diese wird auf dem Boden fixiert, mit der Armierung verbunden und dient dann als Schalung. Bei dieser sehr einfachen Methode wird die Brücke bereits in der frühen Bauphase geliefert und montiert. Die aufwändige Erstellung einer Grube kann somit entfallen. Einsatz findet diese Methode aufgrund ihrer Einfachheit heute recht </w:t>
      </w:r>
      <w:r w:rsidRPr="009D0B0F">
        <w:rPr>
          <w:rFonts w:ascii="Arial" w:hAnsi="Arial" w:cs="Arial"/>
          <w:sz w:val="24"/>
          <w:szCs w:val="24"/>
        </w:rPr>
        <w:lastRenderedPageBreak/>
        <w:t>häufig bei Nachrüstungen von Brücken in bestehenden Gebäuden und fertigen Böden.</w:t>
      </w:r>
    </w:p>
    <w:p w:rsidR="000A3865" w:rsidRPr="009D0B0F" w:rsidRDefault="000A3865" w:rsidP="00024A4F">
      <w:pPr>
        <w:contextualSpacing/>
        <w:jc w:val="both"/>
        <w:rPr>
          <w:rFonts w:ascii="Arial" w:hAnsi="Arial" w:cs="Arial"/>
          <w:i/>
          <w:sz w:val="24"/>
          <w:szCs w:val="24"/>
        </w:rPr>
      </w:pPr>
      <w:r w:rsidRPr="009D0B0F">
        <w:rPr>
          <w:rFonts w:ascii="Arial" w:hAnsi="Arial" w:cs="Arial"/>
          <w:i/>
          <w:sz w:val="24"/>
          <w:szCs w:val="24"/>
        </w:rPr>
        <w:t>FZ – Brückenrahmen als Standmodell</w:t>
      </w:r>
    </w:p>
    <w:p w:rsidR="000A3865" w:rsidRPr="009D0B0F" w:rsidRDefault="000A3865" w:rsidP="00024A4F">
      <w:pPr>
        <w:contextualSpacing/>
        <w:jc w:val="both"/>
        <w:rPr>
          <w:rFonts w:ascii="Arial" w:hAnsi="Arial" w:cs="Arial"/>
          <w:sz w:val="24"/>
          <w:szCs w:val="24"/>
        </w:rPr>
      </w:pPr>
      <w:r w:rsidRPr="009D0B0F">
        <w:rPr>
          <w:rFonts w:ascii="Arial" w:hAnsi="Arial" w:cs="Arial"/>
          <w:sz w:val="24"/>
          <w:szCs w:val="24"/>
        </w:rPr>
        <w:t>Bei dieser Ausführung</w:t>
      </w:r>
      <w:r w:rsidR="00024A4F" w:rsidRPr="009D0B0F">
        <w:rPr>
          <w:rFonts w:ascii="Arial" w:hAnsi="Arial" w:cs="Arial"/>
          <w:sz w:val="24"/>
          <w:szCs w:val="24"/>
        </w:rPr>
        <w:t xml:space="preserve"> wird die Brücke im vorderen Bereich mit den im Grubenboden vorhandenen Stahlprofilen verschweißt. Die Brücke stützt sich auf dem Grubenboden bzw. bei unterfahrbaren Brücken auf einem Mauersockel im hinteren Bereich ab. Als Grubeneinfassung sind dreiseitig umlaufende Kantenschutzwinkel im Boden empfehlenswert. Diese Variante findet ihre häufigste Verwendung, wenn keine Unterfahrbarkeit erforderlich ist.</w:t>
      </w:r>
    </w:p>
    <w:p w:rsidR="00024A4F" w:rsidRPr="009D0B0F" w:rsidRDefault="00024A4F" w:rsidP="00024A4F">
      <w:pPr>
        <w:contextualSpacing/>
        <w:jc w:val="both"/>
        <w:rPr>
          <w:rFonts w:ascii="Arial" w:hAnsi="Arial" w:cs="Arial"/>
          <w:sz w:val="24"/>
          <w:szCs w:val="24"/>
        </w:rPr>
      </w:pPr>
    </w:p>
    <w:p w:rsidR="0003702B" w:rsidRPr="009D0B0F" w:rsidRDefault="0003702B" w:rsidP="00024A4F">
      <w:pPr>
        <w:contextualSpacing/>
        <w:jc w:val="both"/>
        <w:rPr>
          <w:rFonts w:ascii="Arial" w:hAnsi="Arial" w:cs="Arial"/>
          <w:b/>
          <w:sz w:val="28"/>
          <w:szCs w:val="24"/>
        </w:rPr>
      </w:pPr>
      <w:r w:rsidRPr="009D0B0F">
        <w:rPr>
          <w:rFonts w:ascii="Arial" w:hAnsi="Arial" w:cs="Arial"/>
          <w:b/>
          <w:sz w:val="28"/>
          <w:szCs w:val="24"/>
        </w:rPr>
        <w:t>Optionen</w:t>
      </w:r>
    </w:p>
    <w:p w:rsidR="0003702B" w:rsidRPr="009D0B0F" w:rsidRDefault="0003702B" w:rsidP="0003702B">
      <w:pPr>
        <w:contextualSpacing/>
        <w:jc w:val="both"/>
        <w:rPr>
          <w:rFonts w:ascii="Arial" w:hAnsi="Arial" w:cs="Arial"/>
          <w:i/>
          <w:sz w:val="24"/>
          <w:szCs w:val="24"/>
        </w:rPr>
      </w:pPr>
      <w:r w:rsidRPr="009D0B0F">
        <w:rPr>
          <w:rFonts w:ascii="Arial" w:hAnsi="Arial" w:cs="Arial"/>
          <w:i/>
          <w:sz w:val="24"/>
          <w:szCs w:val="24"/>
        </w:rPr>
        <w:t>Vorschub</w:t>
      </w:r>
    </w:p>
    <w:p w:rsidR="00A77E08"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A77E08" w:rsidRPr="009D0B0F">
        <w:rPr>
          <w:rFonts w:ascii="Arial" w:hAnsi="Arial" w:cs="Arial"/>
          <w:sz w:val="24"/>
          <w:szCs w:val="24"/>
        </w:rPr>
        <w:t>Länge 1000 mm</w:t>
      </w:r>
    </w:p>
    <w:p w:rsidR="0003702B"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proofErr w:type="spellStart"/>
      <w:r w:rsidR="0003702B" w:rsidRPr="009D0B0F">
        <w:rPr>
          <w:rFonts w:ascii="Arial" w:hAnsi="Arial" w:cs="Arial"/>
          <w:sz w:val="24"/>
          <w:szCs w:val="24"/>
        </w:rPr>
        <w:t>Angeschrägt</w:t>
      </w:r>
      <w:proofErr w:type="spellEnd"/>
      <w:r w:rsidR="0003702B" w:rsidRPr="009D0B0F">
        <w:rPr>
          <w:rFonts w:ascii="Arial" w:hAnsi="Arial" w:cs="Arial"/>
          <w:sz w:val="24"/>
          <w:szCs w:val="24"/>
        </w:rPr>
        <w:t xml:space="preserve"> 100, 125 oder 150 mm</w:t>
      </w:r>
    </w:p>
    <w:p w:rsidR="006F774D" w:rsidRPr="009D0B0F" w:rsidRDefault="006F774D" w:rsidP="0003702B">
      <w:pPr>
        <w:contextualSpacing/>
        <w:jc w:val="both"/>
        <w:rPr>
          <w:rFonts w:ascii="Arial" w:hAnsi="Arial" w:cs="Arial"/>
          <w:i/>
          <w:sz w:val="24"/>
          <w:szCs w:val="24"/>
        </w:rPr>
      </w:pPr>
    </w:p>
    <w:p w:rsidR="0003702B" w:rsidRPr="009D0B0F" w:rsidRDefault="0003702B" w:rsidP="0003702B">
      <w:pPr>
        <w:contextualSpacing/>
        <w:jc w:val="both"/>
        <w:rPr>
          <w:rFonts w:ascii="Arial" w:hAnsi="Arial" w:cs="Arial"/>
          <w:i/>
          <w:sz w:val="24"/>
          <w:szCs w:val="24"/>
        </w:rPr>
      </w:pPr>
      <w:r w:rsidRPr="009D0B0F">
        <w:rPr>
          <w:rFonts w:ascii="Arial" w:hAnsi="Arial" w:cs="Arial"/>
          <w:i/>
          <w:sz w:val="24"/>
          <w:szCs w:val="24"/>
        </w:rPr>
        <w:t xml:space="preserve">Plateau </w:t>
      </w:r>
    </w:p>
    <w:p w:rsidR="0003702B"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9D0B0F">
        <w:rPr>
          <w:rFonts w:ascii="Arial" w:hAnsi="Arial" w:cs="Arial"/>
          <w:sz w:val="24"/>
          <w:szCs w:val="24"/>
        </w:rPr>
        <w:t>Mit Spaltabdichtung EPDM zur Reduzierung von Zugluft</w:t>
      </w:r>
    </w:p>
    <w:p w:rsidR="0003702B"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9D0B0F">
        <w:rPr>
          <w:rFonts w:ascii="Arial" w:hAnsi="Arial" w:cs="Arial"/>
          <w:sz w:val="24"/>
          <w:szCs w:val="24"/>
        </w:rPr>
        <w:t>Sonderfarbe sonstige RAL Töne, bis Länge 3000 mm</w:t>
      </w:r>
    </w:p>
    <w:p w:rsidR="0003702B"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A77E08" w:rsidRPr="009D0B0F">
        <w:rPr>
          <w:rFonts w:ascii="Arial" w:hAnsi="Arial" w:cs="Arial"/>
          <w:sz w:val="24"/>
          <w:szCs w:val="24"/>
        </w:rPr>
        <w:t>Antirutsch- / Antidröhn Beschichtung</w:t>
      </w:r>
    </w:p>
    <w:p w:rsidR="00A77E08"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A77E08" w:rsidRPr="009D0B0F">
        <w:rPr>
          <w:rFonts w:ascii="Arial" w:hAnsi="Arial" w:cs="Arial"/>
          <w:sz w:val="24"/>
          <w:szCs w:val="24"/>
        </w:rPr>
        <w:t>Sichtschürze unter Vorschublippe</w:t>
      </w:r>
    </w:p>
    <w:p w:rsidR="006F774D" w:rsidRPr="009D0B0F" w:rsidRDefault="006F774D" w:rsidP="0003702B">
      <w:pPr>
        <w:contextualSpacing/>
        <w:jc w:val="both"/>
        <w:rPr>
          <w:rFonts w:ascii="Arial" w:hAnsi="Arial" w:cs="Arial"/>
          <w:i/>
          <w:sz w:val="24"/>
          <w:szCs w:val="24"/>
        </w:rPr>
      </w:pPr>
    </w:p>
    <w:p w:rsidR="0003702B" w:rsidRPr="009D0B0F" w:rsidRDefault="0003702B" w:rsidP="0003702B">
      <w:pPr>
        <w:contextualSpacing/>
        <w:jc w:val="both"/>
        <w:rPr>
          <w:rFonts w:ascii="Arial" w:hAnsi="Arial" w:cs="Arial"/>
          <w:i/>
          <w:sz w:val="24"/>
          <w:szCs w:val="24"/>
        </w:rPr>
      </w:pPr>
      <w:r w:rsidRPr="009D0B0F">
        <w:rPr>
          <w:rFonts w:ascii="Arial" w:hAnsi="Arial" w:cs="Arial"/>
          <w:i/>
          <w:sz w:val="24"/>
          <w:szCs w:val="24"/>
        </w:rPr>
        <w:t>Steuerung</w:t>
      </w:r>
    </w:p>
    <w:p w:rsidR="0003702B"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9D0B0F">
        <w:rPr>
          <w:rFonts w:ascii="Arial" w:hAnsi="Arial" w:cs="Arial"/>
          <w:sz w:val="24"/>
          <w:szCs w:val="24"/>
        </w:rPr>
        <w:t>230V</w:t>
      </w:r>
    </w:p>
    <w:p w:rsidR="0003702B"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9D0B0F">
        <w:rPr>
          <w:rFonts w:ascii="Arial" w:hAnsi="Arial" w:cs="Arial"/>
          <w:sz w:val="24"/>
          <w:szCs w:val="24"/>
        </w:rPr>
        <w:t>Tor / Brückenverriegelung</w:t>
      </w:r>
    </w:p>
    <w:p w:rsidR="0003702B"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9D0B0F">
        <w:rPr>
          <w:rFonts w:ascii="Arial" w:hAnsi="Arial" w:cs="Arial"/>
          <w:sz w:val="24"/>
          <w:szCs w:val="24"/>
        </w:rPr>
        <w:t>Externer Notaustaster</w:t>
      </w:r>
    </w:p>
    <w:p w:rsidR="0003702B"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9D0B0F">
        <w:rPr>
          <w:rFonts w:ascii="Arial" w:hAnsi="Arial" w:cs="Arial"/>
          <w:sz w:val="24"/>
          <w:szCs w:val="24"/>
        </w:rPr>
        <w:t>Sensor Position Überladebrücke</w:t>
      </w:r>
    </w:p>
    <w:p w:rsidR="0003702B"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03702B" w:rsidRPr="009D0B0F">
        <w:rPr>
          <w:rFonts w:ascii="Arial" w:hAnsi="Arial" w:cs="Arial"/>
          <w:sz w:val="24"/>
          <w:szCs w:val="24"/>
        </w:rPr>
        <w:t xml:space="preserve">Kabelverlängerung 9 m, 6 m oder 3 m </w:t>
      </w:r>
    </w:p>
    <w:p w:rsidR="006F774D" w:rsidRPr="009D0B0F" w:rsidRDefault="006F774D" w:rsidP="0003702B">
      <w:pPr>
        <w:contextualSpacing/>
        <w:jc w:val="both"/>
        <w:rPr>
          <w:rFonts w:ascii="Arial" w:hAnsi="Arial" w:cs="Arial"/>
          <w:i/>
          <w:sz w:val="24"/>
          <w:szCs w:val="24"/>
        </w:rPr>
      </w:pPr>
    </w:p>
    <w:p w:rsidR="0003702B" w:rsidRPr="009D0B0F" w:rsidRDefault="0003702B" w:rsidP="0003702B">
      <w:pPr>
        <w:contextualSpacing/>
        <w:jc w:val="both"/>
        <w:rPr>
          <w:rFonts w:ascii="Arial" w:hAnsi="Arial" w:cs="Arial"/>
          <w:i/>
          <w:sz w:val="24"/>
          <w:szCs w:val="24"/>
          <w:lang w:val="en-US"/>
        </w:rPr>
      </w:pPr>
      <w:r w:rsidRPr="009D0B0F">
        <w:rPr>
          <w:rFonts w:ascii="Arial" w:hAnsi="Arial" w:cs="Arial"/>
          <w:i/>
          <w:sz w:val="24"/>
          <w:szCs w:val="24"/>
          <w:lang w:val="en-US"/>
        </w:rPr>
        <w:t>Options</w:t>
      </w:r>
      <w:r w:rsidR="006F774D" w:rsidRPr="009D0B0F">
        <w:rPr>
          <w:rFonts w:ascii="Arial" w:hAnsi="Arial" w:cs="Arial"/>
          <w:i/>
          <w:sz w:val="24"/>
          <w:szCs w:val="24"/>
          <w:lang w:val="en-US"/>
        </w:rPr>
        <w:t xml:space="preserve"> </w:t>
      </w:r>
      <w:proofErr w:type="spellStart"/>
      <w:r w:rsidR="006F774D" w:rsidRPr="009D0B0F">
        <w:rPr>
          <w:rFonts w:ascii="Arial" w:hAnsi="Arial" w:cs="Arial"/>
          <w:i/>
          <w:sz w:val="24"/>
          <w:szCs w:val="24"/>
          <w:lang w:val="en-US"/>
        </w:rPr>
        <w:t>Pakete</w:t>
      </w:r>
      <w:proofErr w:type="spellEnd"/>
    </w:p>
    <w:p w:rsidR="006F774D" w:rsidRPr="009D0B0F" w:rsidRDefault="009D0B0F" w:rsidP="0003702B">
      <w:pPr>
        <w:contextualSpacing/>
        <w:jc w:val="both"/>
        <w:rPr>
          <w:rFonts w:ascii="Arial" w:hAnsi="Arial" w:cs="Arial"/>
          <w:sz w:val="24"/>
          <w:szCs w:val="24"/>
          <w:lang w:val="en-US"/>
        </w:rPr>
      </w:pPr>
      <w:r>
        <w:rPr>
          <w:rFonts w:ascii="Arial" w:hAnsi="Arial" w:cs="Arial"/>
          <w:sz w:val="24"/>
          <w:szCs w:val="24"/>
        </w:rPr>
        <w:sym w:font="Wingdings" w:char="F06F"/>
      </w:r>
      <w:r w:rsidRPr="009D0B0F">
        <w:rPr>
          <w:rFonts w:ascii="Arial" w:hAnsi="Arial" w:cs="Arial"/>
          <w:sz w:val="24"/>
          <w:szCs w:val="24"/>
          <w:lang w:val="en-US"/>
        </w:rPr>
        <w:t xml:space="preserve"> </w:t>
      </w:r>
      <w:r w:rsidR="006F774D" w:rsidRPr="009D0B0F">
        <w:rPr>
          <w:rFonts w:ascii="Arial" w:hAnsi="Arial" w:cs="Arial"/>
          <w:sz w:val="24"/>
          <w:szCs w:val="24"/>
          <w:lang w:val="en-US"/>
        </w:rPr>
        <w:t>Green SLOD</w:t>
      </w:r>
      <w:r w:rsidR="006F774D" w:rsidRPr="009D0B0F">
        <w:rPr>
          <w:rFonts w:ascii="Arial" w:hAnsi="Arial" w:cs="Arial"/>
          <w:sz w:val="24"/>
          <w:szCs w:val="24"/>
          <w:lang w:val="en-US"/>
        </w:rPr>
        <w:tab/>
      </w:r>
      <w:r w:rsidR="006F774D" w:rsidRPr="009D0B0F">
        <w:rPr>
          <w:rFonts w:ascii="Arial" w:hAnsi="Arial" w:cs="Arial"/>
          <w:sz w:val="24"/>
          <w:szCs w:val="24"/>
          <w:lang w:val="en-US"/>
        </w:rPr>
        <w:tab/>
        <w:t xml:space="preserve">Supervision 5 </w:t>
      </w:r>
      <w:proofErr w:type="spellStart"/>
      <w:r w:rsidR="006F774D" w:rsidRPr="009D0B0F">
        <w:rPr>
          <w:rFonts w:ascii="Arial" w:hAnsi="Arial" w:cs="Arial"/>
          <w:sz w:val="24"/>
          <w:szCs w:val="24"/>
          <w:lang w:val="en-US"/>
        </w:rPr>
        <w:t>mit</w:t>
      </w:r>
      <w:proofErr w:type="spellEnd"/>
      <w:r w:rsidR="006F774D" w:rsidRPr="009D0B0F">
        <w:rPr>
          <w:rFonts w:ascii="Arial" w:hAnsi="Arial" w:cs="Arial"/>
          <w:sz w:val="24"/>
          <w:szCs w:val="24"/>
          <w:lang w:val="en-US"/>
        </w:rPr>
        <w:t xml:space="preserve"> SLOD </w:t>
      </w:r>
      <w:proofErr w:type="spellStart"/>
      <w:r w:rsidR="006F774D" w:rsidRPr="009D0B0F">
        <w:rPr>
          <w:rFonts w:ascii="Arial" w:hAnsi="Arial" w:cs="Arial"/>
          <w:sz w:val="24"/>
          <w:szCs w:val="24"/>
          <w:lang w:val="en-US"/>
        </w:rPr>
        <w:t>Funktion</w:t>
      </w:r>
      <w:proofErr w:type="spellEnd"/>
    </w:p>
    <w:p w:rsidR="006F774D"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6F774D" w:rsidRPr="009D0B0F">
        <w:rPr>
          <w:rFonts w:ascii="Arial" w:hAnsi="Arial" w:cs="Arial"/>
          <w:sz w:val="24"/>
          <w:szCs w:val="24"/>
        </w:rPr>
        <w:t>Green Plus</w:t>
      </w:r>
      <w:r w:rsidR="006F774D" w:rsidRPr="009D0B0F">
        <w:rPr>
          <w:rFonts w:ascii="Arial" w:hAnsi="Arial" w:cs="Arial"/>
          <w:sz w:val="24"/>
          <w:szCs w:val="24"/>
        </w:rPr>
        <w:tab/>
      </w:r>
      <w:r w:rsidR="006F774D" w:rsidRPr="009D0B0F">
        <w:rPr>
          <w:rFonts w:ascii="Arial" w:hAnsi="Arial" w:cs="Arial"/>
          <w:sz w:val="24"/>
          <w:szCs w:val="24"/>
        </w:rPr>
        <w:tab/>
        <w:t>i-Vision Steuerung, Energie Spar Funktion</w:t>
      </w:r>
    </w:p>
    <w:p w:rsidR="006F774D" w:rsidRPr="009D0B0F" w:rsidRDefault="009D0B0F" w:rsidP="0003702B">
      <w:pPr>
        <w:contextualSpacing/>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bookmarkStart w:id="0" w:name="_GoBack"/>
      <w:bookmarkEnd w:id="0"/>
      <w:r w:rsidR="006F774D" w:rsidRPr="009D0B0F">
        <w:rPr>
          <w:rFonts w:ascii="Arial" w:hAnsi="Arial" w:cs="Arial"/>
          <w:sz w:val="24"/>
          <w:szCs w:val="24"/>
        </w:rPr>
        <w:t>Door Plus</w:t>
      </w:r>
      <w:r w:rsidR="006F774D" w:rsidRPr="009D0B0F">
        <w:rPr>
          <w:rFonts w:ascii="Arial" w:hAnsi="Arial" w:cs="Arial"/>
          <w:sz w:val="24"/>
          <w:szCs w:val="24"/>
        </w:rPr>
        <w:tab/>
      </w:r>
      <w:r w:rsidR="006F774D" w:rsidRPr="009D0B0F">
        <w:rPr>
          <w:rFonts w:ascii="Arial" w:hAnsi="Arial" w:cs="Arial"/>
          <w:sz w:val="24"/>
          <w:szCs w:val="24"/>
        </w:rPr>
        <w:tab/>
      </w:r>
      <w:r w:rsidR="006F774D" w:rsidRPr="009D0B0F">
        <w:rPr>
          <w:rFonts w:ascii="Arial" w:hAnsi="Arial" w:cs="Arial"/>
          <w:sz w:val="24"/>
          <w:szCs w:val="24"/>
        </w:rPr>
        <w:tab/>
        <w:t>Kombisteuerung, Auto Dock Funktion, Verriegelung</w:t>
      </w:r>
    </w:p>
    <w:p w:rsidR="0003702B" w:rsidRPr="009D0B0F" w:rsidRDefault="0003702B" w:rsidP="0003702B">
      <w:pPr>
        <w:contextualSpacing/>
        <w:jc w:val="both"/>
        <w:rPr>
          <w:rFonts w:ascii="Arial" w:hAnsi="Arial" w:cs="Arial"/>
          <w:sz w:val="24"/>
          <w:szCs w:val="24"/>
        </w:rPr>
      </w:pPr>
    </w:p>
    <w:p w:rsidR="0003702B" w:rsidRPr="009D0B0F" w:rsidRDefault="0003702B" w:rsidP="0003702B">
      <w:pPr>
        <w:contextualSpacing/>
        <w:jc w:val="both"/>
        <w:rPr>
          <w:rFonts w:ascii="Arial" w:hAnsi="Arial" w:cs="Arial"/>
          <w:sz w:val="24"/>
          <w:szCs w:val="24"/>
        </w:rPr>
      </w:pPr>
      <w:r w:rsidRPr="009D0B0F">
        <w:rPr>
          <w:rFonts w:ascii="Arial" w:hAnsi="Arial" w:cs="Arial"/>
          <w:sz w:val="24"/>
          <w:szCs w:val="24"/>
        </w:rPr>
        <w:t xml:space="preserve"> </w:t>
      </w:r>
    </w:p>
    <w:p w:rsidR="00785A4E" w:rsidRPr="009D0B0F" w:rsidRDefault="00785A4E" w:rsidP="0003702B">
      <w:pPr>
        <w:contextualSpacing/>
        <w:jc w:val="both"/>
        <w:rPr>
          <w:rFonts w:ascii="Arial" w:hAnsi="Arial" w:cs="Arial"/>
          <w:sz w:val="24"/>
          <w:szCs w:val="24"/>
        </w:rPr>
      </w:pPr>
    </w:p>
    <w:p w:rsidR="00B37CA7" w:rsidRPr="009D0B0F" w:rsidRDefault="00B37CA7" w:rsidP="0003702B">
      <w:pPr>
        <w:contextualSpacing/>
        <w:jc w:val="both"/>
        <w:rPr>
          <w:rFonts w:ascii="Arial" w:hAnsi="Arial" w:cs="Arial"/>
          <w:sz w:val="24"/>
          <w:szCs w:val="24"/>
        </w:rPr>
      </w:pPr>
    </w:p>
    <w:p w:rsidR="00B37CA7" w:rsidRPr="009D0B0F" w:rsidRDefault="00B37CA7" w:rsidP="0003702B">
      <w:pPr>
        <w:contextualSpacing/>
        <w:jc w:val="both"/>
        <w:rPr>
          <w:rFonts w:ascii="Arial" w:hAnsi="Arial" w:cs="Arial"/>
          <w:sz w:val="24"/>
          <w:szCs w:val="24"/>
        </w:rPr>
      </w:pPr>
    </w:p>
    <w:p w:rsidR="00B37CA7" w:rsidRPr="009D0B0F" w:rsidRDefault="00B37CA7" w:rsidP="0003702B">
      <w:pPr>
        <w:contextualSpacing/>
        <w:jc w:val="both"/>
        <w:rPr>
          <w:rFonts w:ascii="Arial" w:hAnsi="Arial" w:cs="Arial"/>
          <w:sz w:val="24"/>
          <w:szCs w:val="24"/>
        </w:rPr>
      </w:pPr>
    </w:p>
    <w:sectPr w:rsidR="00B37CA7" w:rsidRPr="009D0B0F" w:rsidSect="00F15E21">
      <w:pgSz w:w="11907" w:h="17690"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48" w:rsidRDefault="00AE2448" w:rsidP="00AE2448">
      <w:pPr>
        <w:spacing w:after="0" w:line="240" w:lineRule="auto"/>
      </w:pPr>
      <w:r>
        <w:separator/>
      </w:r>
    </w:p>
  </w:endnote>
  <w:endnote w:type="continuationSeparator" w:id="0">
    <w:p w:rsidR="00AE2448" w:rsidRDefault="00AE2448" w:rsidP="00AE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48" w:rsidRDefault="00AE2448" w:rsidP="00AE2448">
      <w:pPr>
        <w:spacing w:after="0" w:line="240" w:lineRule="auto"/>
      </w:pPr>
      <w:r>
        <w:separator/>
      </w:r>
    </w:p>
  </w:footnote>
  <w:footnote w:type="continuationSeparator" w:id="0">
    <w:p w:rsidR="00AE2448" w:rsidRDefault="00AE2448" w:rsidP="00AE24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A6DFE"/>
    <w:multiLevelType w:val="hybridMultilevel"/>
    <w:tmpl w:val="991A012E"/>
    <w:lvl w:ilvl="0" w:tplc="C1C89EF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14864D7"/>
    <w:multiLevelType w:val="hybridMultilevel"/>
    <w:tmpl w:val="1518B752"/>
    <w:lvl w:ilvl="0" w:tplc="B6F669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A7"/>
    <w:rsid w:val="00024A4F"/>
    <w:rsid w:val="0003702B"/>
    <w:rsid w:val="000A3865"/>
    <w:rsid w:val="00453C2C"/>
    <w:rsid w:val="004B50E4"/>
    <w:rsid w:val="006F774D"/>
    <w:rsid w:val="00785A4E"/>
    <w:rsid w:val="009D0B0F"/>
    <w:rsid w:val="00A07716"/>
    <w:rsid w:val="00A77E08"/>
    <w:rsid w:val="00AE2448"/>
    <w:rsid w:val="00B37CA7"/>
    <w:rsid w:val="00F00B49"/>
    <w:rsid w:val="00F145E3"/>
    <w:rsid w:val="00F15E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702B"/>
    <w:pPr>
      <w:ind w:left="720"/>
      <w:contextualSpacing/>
    </w:pPr>
  </w:style>
  <w:style w:type="paragraph" w:styleId="Kopfzeile">
    <w:name w:val="header"/>
    <w:basedOn w:val="Standard"/>
    <w:link w:val="KopfzeileZchn"/>
    <w:uiPriority w:val="99"/>
    <w:unhideWhenUsed/>
    <w:rsid w:val="00AE24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2448"/>
  </w:style>
  <w:style w:type="paragraph" w:styleId="Fuzeile">
    <w:name w:val="footer"/>
    <w:basedOn w:val="Standard"/>
    <w:link w:val="FuzeileZchn"/>
    <w:uiPriority w:val="99"/>
    <w:unhideWhenUsed/>
    <w:rsid w:val="00AE24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2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702B"/>
    <w:pPr>
      <w:ind w:left="720"/>
      <w:contextualSpacing/>
    </w:pPr>
  </w:style>
  <w:style w:type="paragraph" w:styleId="Kopfzeile">
    <w:name w:val="header"/>
    <w:basedOn w:val="Standard"/>
    <w:link w:val="KopfzeileZchn"/>
    <w:uiPriority w:val="99"/>
    <w:unhideWhenUsed/>
    <w:rsid w:val="00AE24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2448"/>
  </w:style>
  <w:style w:type="paragraph" w:styleId="Fuzeile">
    <w:name w:val="footer"/>
    <w:basedOn w:val="Standard"/>
    <w:link w:val="FuzeileZchn"/>
    <w:uiPriority w:val="99"/>
    <w:unhideWhenUsed/>
    <w:rsid w:val="00AE24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D7A5-FBE4-43F4-92B0-C45152B8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Novoferm Group</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Willms, Christoph</dc:creator>
  <cp:lastModifiedBy>Bannemann, Jana</cp:lastModifiedBy>
  <cp:revision>8</cp:revision>
  <cp:lastPrinted>2017-06-27T08:10:00Z</cp:lastPrinted>
  <dcterms:created xsi:type="dcterms:W3CDTF">2017-06-23T08:42:00Z</dcterms:created>
  <dcterms:modified xsi:type="dcterms:W3CDTF">2017-06-30T09:49:00Z</dcterms:modified>
</cp:coreProperties>
</file>